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C4" w:rsidRDefault="006B282C">
      <w:pPr>
        <w:pStyle w:val="1"/>
        <w:numPr>
          <w:ilvl w:val="0"/>
          <w:numId w:val="2"/>
        </w:numPr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59" t="-202" r="-259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b/>
          <w:bCs/>
          <w:spacing w:val="70"/>
        </w:rPr>
        <w:t xml:space="preserve"> </w:t>
      </w:r>
      <w:r>
        <w:rPr>
          <w:rFonts w:ascii="Times New Roman" w:hAnsi="Times New Roman" w:cs="Times New Roman"/>
          <w:b/>
          <w:bCs/>
          <w:spacing w:val="70"/>
        </w:rPr>
        <w:t>Российская Федерация</w:t>
      </w:r>
    </w:p>
    <w:p w:rsidR="005A23C4" w:rsidRDefault="006B282C">
      <w:pPr>
        <w:pStyle w:val="4"/>
        <w:numPr>
          <w:ilvl w:val="3"/>
          <w:numId w:val="2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5A23C4" w:rsidRDefault="005A23C4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5A23C4" w:rsidRDefault="006B282C">
      <w:pPr>
        <w:pStyle w:val="3"/>
        <w:numPr>
          <w:ilvl w:val="2"/>
          <w:numId w:val="2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534AB3" w:rsidRPr="00DC5DC5" w:rsidRDefault="006B282C" w:rsidP="00534AB3">
      <w:pPr>
        <w:pStyle w:val="3"/>
        <w:numPr>
          <w:ilvl w:val="2"/>
          <w:numId w:val="2"/>
        </w:numPr>
        <w:spacing w:before="240"/>
        <w:jc w:val="left"/>
        <w:rPr>
          <w:sz w:val="26"/>
          <w:szCs w:val="26"/>
        </w:rPr>
      </w:pPr>
      <w:r w:rsidRPr="00DC5DC5">
        <w:rPr>
          <w:rFonts w:ascii="Times New Roman" w:eastAsia="Andalus" w:hAnsi="Times New Roman" w:cs="Times New Roman"/>
          <w:sz w:val="26"/>
          <w:szCs w:val="26"/>
        </w:rPr>
        <w:t xml:space="preserve">           от   </w:t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  <w:t xml:space="preserve">     № </w:t>
      </w:r>
    </w:p>
    <w:p w:rsidR="00DC5DC5" w:rsidRPr="00DC5DC5" w:rsidRDefault="00DC5DC5" w:rsidP="00534AB3">
      <w:pPr>
        <w:pStyle w:val="3"/>
        <w:numPr>
          <w:ilvl w:val="2"/>
          <w:numId w:val="2"/>
        </w:numPr>
        <w:spacing w:before="240"/>
        <w:jc w:val="left"/>
        <w:rPr>
          <w:sz w:val="26"/>
          <w:szCs w:val="26"/>
        </w:rPr>
      </w:pPr>
    </w:p>
    <w:tbl>
      <w:tblPr>
        <w:tblW w:w="96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8"/>
        <w:gridCol w:w="5626"/>
      </w:tblGrid>
      <w:tr w:rsidR="005A23C4" w:rsidTr="00534AB3">
        <w:tc>
          <w:tcPr>
            <w:tcW w:w="4028" w:type="dxa"/>
            <w:shd w:val="clear" w:color="auto" w:fill="auto"/>
          </w:tcPr>
          <w:p w:rsidR="005A23C4" w:rsidRDefault="006B282C">
            <w:pPr>
              <w:widowControl w:val="0"/>
              <w:shd w:val="clear" w:color="auto" w:fill="FFFFFF"/>
              <w:suppressAutoHyphens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 внесении изменений в решение Совета депутатов городского округа Фрязино от 17.12.2021 № 129/29 «О бюджете городского округа Фрязино на 2022 год и на плановый период 2023 и 2024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5A23C4" w:rsidRDefault="005A23C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Рассмотрев предложение Главы городского округа Фрязино, в соответствии с Уставом городского округа Фрязино Московской области</w:t>
      </w:r>
    </w:p>
    <w:p w:rsidR="005A23C4" w:rsidRDefault="006B282C">
      <w:pPr>
        <w:pStyle w:val="10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5A23C4" w:rsidRDefault="006B282C">
      <w:pPr>
        <w:pStyle w:val="10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5A23C4" w:rsidRDefault="005A23C4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17.12.2021 № 129/29 «О бюджете городского округа Фрязино на 2022 год и на плановый период 2023 и 2024 годов» следующие изменения:</w:t>
      </w:r>
    </w:p>
    <w:p w:rsidR="005A23C4" w:rsidRDefault="006B282C">
      <w:pPr>
        <w:pStyle w:val="10"/>
        <w:ind w:left="567"/>
        <w:jc w:val="both"/>
      </w:pPr>
      <w:r>
        <w:rPr>
          <w:rFonts w:cs="Arial"/>
          <w:sz w:val="27"/>
          <w:szCs w:val="27"/>
        </w:rPr>
        <w:t>1.1. Статью 1. Изложить в следующей редакции: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b/>
          <w:sz w:val="27"/>
          <w:szCs w:val="27"/>
        </w:rPr>
        <w:t xml:space="preserve">«Статья 1. 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sz w:val="27"/>
          <w:szCs w:val="27"/>
        </w:rPr>
        <w:t>1. Утвердить основные характеристики бюджета городского округа Фрязино на 2022 год:</w:t>
      </w:r>
    </w:p>
    <w:p w:rsidR="005A23C4" w:rsidRDefault="006B282C">
      <w:pPr>
        <w:pStyle w:val="10"/>
        <w:ind w:firstLine="567"/>
        <w:jc w:val="both"/>
      </w:pPr>
      <w:r>
        <w:rPr>
          <w:rFonts w:cs="Arial"/>
          <w:sz w:val="27"/>
          <w:szCs w:val="27"/>
        </w:rPr>
        <w:t xml:space="preserve">а) общий объем доходов бюджета городского округа Фрязино в сумме </w:t>
      </w:r>
      <w:r w:rsidR="00AB6A31">
        <w:rPr>
          <w:rFonts w:cs="Arial"/>
          <w:sz w:val="27"/>
          <w:szCs w:val="27"/>
        </w:rPr>
        <w:t>3 602 769,1</w:t>
      </w:r>
      <w:r>
        <w:rPr>
          <w:rFonts w:cs="Arial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C25D1">
        <w:rPr>
          <w:rFonts w:cs="Arial"/>
          <w:sz w:val="27"/>
          <w:szCs w:val="27"/>
        </w:rPr>
        <w:t>2 135 613,7</w:t>
      </w:r>
      <w:r>
        <w:rPr>
          <w:rFonts w:cs="Arial"/>
          <w:sz w:val="27"/>
          <w:szCs w:val="27"/>
        </w:rPr>
        <w:t xml:space="preserve"> тыс. рублей;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б) общий объем расходов бюджета городского округа Фрязино в сумме </w:t>
      </w:r>
      <w:r w:rsidR="00AB6A31">
        <w:rPr>
          <w:rFonts w:cs="Arial"/>
          <w:sz w:val="27"/>
          <w:szCs w:val="27"/>
        </w:rPr>
        <w:t>3 652 966,0</w:t>
      </w:r>
      <w:r>
        <w:rPr>
          <w:rFonts w:cs="Arial"/>
          <w:sz w:val="27"/>
          <w:szCs w:val="27"/>
        </w:rPr>
        <w:t xml:space="preserve"> тыс. рублей;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в) дефицит бюджета городского округа Фрязино в сумме  </w:t>
      </w:r>
      <w:r w:rsidR="00AB6A31">
        <w:rPr>
          <w:rFonts w:cs="Arial"/>
          <w:sz w:val="27"/>
          <w:szCs w:val="27"/>
        </w:rPr>
        <w:t>50 196,9</w:t>
      </w:r>
      <w:r>
        <w:rPr>
          <w:rFonts w:cs="Arial"/>
          <w:sz w:val="27"/>
          <w:szCs w:val="27"/>
        </w:rPr>
        <w:t xml:space="preserve"> тыс. рублей.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sz w:val="27"/>
          <w:szCs w:val="27"/>
        </w:rPr>
        <w:t>2. Утвердить основные характеристики бюджета городского округа Фрязино на плановый период 2023 и 2024 годов: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proofErr w:type="gramStart"/>
      <w:r>
        <w:rPr>
          <w:rFonts w:cs="Arial"/>
          <w:sz w:val="27"/>
          <w:szCs w:val="27"/>
        </w:rPr>
        <w:t>а) общий объем доходов бюджета городского округа Фрязино на 2023 год в   сумме 3</w:t>
      </w:r>
      <w:r w:rsidR="002C25D1">
        <w:rPr>
          <w:rFonts w:cs="Arial"/>
          <w:sz w:val="27"/>
          <w:szCs w:val="27"/>
        </w:rPr>
        <w:t> 704 414,3</w:t>
      </w:r>
      <w:r>
        <w:rPr>
          <w:rFonts w:cs="Arial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C25D1">
        <w:rPr>
          <w:rFonts w:cs="Arial"/>
          <w:sz w:val="27"/>
          <w:szCs w:val="27"/>
        </w:rPr>
        <w:t xml:space="preserve">2 412 786,3 </w:t>
      </w:r>
      <w:r>
        <w:rPr>
          <w:rFonts w:cs="Arial"/>
          <w:sz w:val="27"/>
          <w:szCs w:val="27"/>
        </w:rPr>
        <w:t>тыс. рублей и на 2024 год в сумме 2</w:t>
      </w:r>
      <w:r w:rsidR="002C25D1">
        <w:rPr>
          <w:rFonts w:cs="Arial"/>
          <w:sz w:val="27"/>
          <w:szCs w:val="27"/>
        </w:rPr>
        <w:t> </w:t>
      </w:r>
      <w:r>
        <w:rPr>
          <w:rFonts w:cs="Arial"/>
          <w:sz w:val="27"/>
          <w:szCs w:val="27"/>
        </w:rPr>
        <w:t>2</w:t>
      </w:r>
      <w:r w:rsidR="002C25D1">
        <w:rPr>
          <w:rFonts w:cs="Arial"/>
          <w:sz w:val="27"/>
          <w:szCs w:val="27"/>
        </w:rPr>
        <w:t>13 504,5</w:t>
      </w:r>
      <w:r>
        <w:rPr>
          <w:rFonts w:cs="Arial"/>
          <w:sz w:val="27"/>
          <w:szCs w:val="27"/>
        </w:rPr>
        <w:t xml:space="preserve"> тыс. рублей, в том числе объем межбюджетных трансфертов, получаемых из других бюджетов</w:t>
      </w:r>
      <w:proofErr w:type="gramEnd"/>
      <w:r>
        <w:rPr>
          <w:rFonts w:cs="Arial"/>
          <w:sz w:val="27"/>
          <w:szCs w:val="27"/>
        </w:rPr>
        <w:t xml:space="preserve"> бюджетной системы Российской Федерации в сумме </w:t>
      </w:r>
      <w:r w:rsidR="002C25D1">
        <w:rPr>
          <w:rFonts w:cs="Arial"/>
          <w:sz w:val="27"/>
          <w:szCs w:val="27"/>
        </w:rPr>
        <w:t>973 147,5</w:t>
      </w:r>
      <w:r>
        <w:rPr>
          <w:rFonts w:cs="Arial"/>
          <w:sz w:val="27"/>
          <w:szCs w:val="27"/>
        </w:rPr>
        <w:t xml:space="preserve"> тыс. рублей;</w:t>
      </w:r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proofErr w:type="gramStart"/>
      <w:r>
        <w:rPr>
          <w:rFonts w:cs="Arial"/>
          <w:sz w:val="27"/>
          <w:szCs w:val="27"/>
        </w:rPr>
        <w:lastRenderedPageBreak/>
        <w:t>б) общий объем расходов бюджета городского округа Фрязино на 2023 год в сумме 3</w:t>
      </w:r>
      <w:r w:rsidR="002C25D1">
        <w:rPr>
          <w:rFonts w:cs="Arial"/>
          <w:sz w:val="27"/>
          <w:szCs w:val="27"/>
        </w:rPr>
        <w:t> 704 414,3</w:t>
      </w:r>
      <w:r>
        <w:rPr>
          <w:rFonts w:cs="Arial"/>
          <w:sz w:val="27"/>
          <w:szCs w:val="27"/>
        </w:rPr>
        <w:t xml:space="preserve"> тыс. рублей, в том числе условно утвержденные расходы в сумме 36 345,8 тыс. рублей и на 2024 год в сумме 2</w:t>
      </w:r>
      <w:r w:rsidR="002C25D1">
        <w:rPr>
          <w:rFonts w:cs="Arial"/>
          <w:sz w:val="27"/>
          <w:szCs w:val="27"/>
        </w:rPr>
        <w:t> </w:t>
      </w:r>
      <w:r>
        <w:rPr>
          <w:rFonts w:cs="Arial"/>
          <w:sz w:val="27"/>
          <w:szCs w:val="27"/>
        </w:rPr>
        <w:t>2</w:t>
      </w:r>
      <w:r w:rsidR="002C25D1">
        <w:rPr>
          <w:rFonts w:cs="Arial"/>
          <w:sz w:val="27"/>
          <w:szCs w:val="27"/>
        </w:rPr>
        <w:t>13 504,5</w:t>
      </w:r>
      <w:r>
        <w:rPr>
          <w:rFonts w:cs="Arial"/>
          <w:sz w:val="27"/>
          <w:szCs w:val="27"/>
        </w:rPr>
        <w:t xml:space="preserve"> тыс. рублей, в том числе условно утвержденные расходы в сумме 74 926,4 тыс. рублей;</w:t>
      </w:r>
      <w:proofErr w:type="gramEnd"/>
    </w:p>
    <w:p w:rsidR="005A23C4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rFonts w:cs="Arial"/>
          <w:sz w:val="27"/>
          <w:szCs w:val="27"/>
        </w:rPr>
        <w:t>в) дефицит бюджета городского округа Фрязино на 2023 год в сумме 0 тыс. рублей и на 2024 год в сумме 0 тыс. рублей.</w:t>
      </w:r>
    </w:p>
    <w:p w:rsidR="005A23C4" w:rsidRDefault="006B282C">
      <w:pPr>
        <w:pStyle w:val="10"/>
        <w:ind w:firstLine="567"/>
        <w:jc w:val="both"/>
        <w:rPr>
          <w:rFonts w:cs="Arial"/>
          <w:sz w:val="27"/>
          <w:szCs w:val="27"/>
        </w:rPr>
      </w:pPr>
      <w:r w:rsidRPr="00AB6A31">
        <w:rPr>
          <w:rFonts w:cs="Arial"/>
          <w:sz w:val="27"/>
          <w:szCs w:val="27"/>
        </w:rPr>
        <w:t>3. Утвердить общий объем бюджетных ассигнований, направляемых на исполнение публичных нормативных обязательств на 2022 год в сумме 0 тыс. рублей, на 2023 год в сумме 0 тыс. рублей и на 2024 год в сумме 0 тыс. рублей</w:t>
      </w:r>
      <w:proofErr w:type="gramStart"/>
      <w:r w:rsidRPr="00AB6A31">
        <w:rPr>
          <w:rFonts w:cs="Arial"/>
          <w:sz w:val="27"/>
          <w:szCs w:val="27"/>
        </w:rPr>
        <w:t>.»;</w:t>
      </w:r>
      <w:proofErr w:type="gramEnd"/>
    </w:p>
    <w:p w:rsidR="005A23C4" w:rsidRDefault="006B282C">
      <w:pPr>
        <w:pStyle w:val="10"/>
        <w:ind w:firstLine="567"/>
        <w:jc w:val="both"/>
      </w:pPr>
      <w:r>
        <w:rPr>
          <w:sz w:val="27"/>
          <w:szCs w:val="27"/>
        </w:rPr>
        <w:t xml:space="preserve">1.2. Дополнить статьей </w:t>
      </w:r>
      <w:r w:rsidR="004D0C96">
        <w:rPr>
          <w:sz w:val="27"/>
          <w:szCs w:val="27"/>
        </w:rPr>
        <w:t>3</w:t>
      </w:r>
      <w:r>
        <w:rPr>
          <w:sz w:val="27"/>
          <w:szCs w:val="27"/>
        </w:rPr>
        <w:t>.1. следующего содержания:</w:t>
      </w:r>
    </w:p>
    <w:p w:rsidR="005A23C4" w:rsidRDefault="006B282C">
      <w:pPr>
        <w:pStyle w:val="10"/>
        <w:ind w:firstLine="567"/>
        <w:jc w:val="both"/>
        <w:rPr>
          <w:b/>
          <w:sz w:val="27"/>
          <w:szCs w:val="27"/>
        </w:rPr>
      </w:pPr>
      <w:r>
        <w:rPr>
          <w:sz w:val="27"/>
          <w:szCs w:val="27"/>
        </w:rPr>
        <w:t>«</w:t>
      </w:r>
      <w:r>
        <w:rPr>
          <w:b/>
          <w:sz w:val="27"/>
          <w:szCs w:val="27"/>
        </w:rPr>
        <w:t xml:space="preserve">Статья </w:t>
      </w:r>
      <w:r w:rsidR="004D0C96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>.1.</w:t>
      </w:r>
    </w:p>
    <w:p w:rsidR="00A7393B" w:rsidRDefault="00A7393B" w:rsidP="00A7393B">
      <w:pPr>
        <w:tabs>
          <w:tab w:val="left" w:pos="536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393B">
        <w:rPr>
          <w:rFonts w:ascii="Times New Roman" w:hAnsi="Times New Roman" w:cs="Times New Roman"/>
          <w:sz w:val="28"/>
          <w:szCs w:val="28"/>
        </w:rPr>
        <w:t>Установить, что зачисленные</w:t>
      </w:r>
      <w:r w:rsidR="00C06C76">
        <w:rPr>
          <w:rFonts w:ascii="Times New Roman" w:hAnsi="Times New Roman" w:cs="Times New Roman"/>
          <w:sz w:val="28"/>
          <w:szCs w:val="28"/>
        </w:rPr>
        <w:t xml:space="preserve"> с 01.09.2022 </w:t>
      </w:r>
      <w:r w:rsidRPr="00A7393B">
        <w:rPr>
          <w:rFonts w:ascii="Times New Roman" w:hAnsi="Times New Roman" w:cs="Times New Roman"/>
          <w:sz w:val="28"/>
          <w:szCs w:val="28"/>
        </w:rPr>
        <w:t xml:space="preserve"> в бюджет городского округа</w:t>
      </w:r>
      <w:r w:rsidR="00C06C76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Pr="00A7393B">
        <w:rPr>
          <w:rFonts w:ascii="Times New Roman" w:hAnsi="Times New Roman" w:cs="Times New Roman"/>
          <w:sz w:val="28"/>
          <w:szCs w:val="28"/>
        </w:rPr>
        <w:t xml:space="preserve">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</w:t>
      </w:r>
      <w:proofErr w:type="gramEnd"/>
      <w:r w:rsidRPr="00A739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393B">
        <w:rPr>
          <w:rFonts w:ascii="Times New Roman" w:hAnsi="Times New Roman" w:cs="Times New Roman"/>
          <w:sz w:val="28"/>
          <w:szCs w:val="28"/>
        </w:rPr>
        <w:t>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</w:t>
      </w:r>
      <w:r w:rsidR="00C06C76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Pr="00A7393B">
        <w:rPr>
          <w:rFonts w:ascii="Times New Roman" w:hAnsi="Times New Roman" w:cs="Times New Roman"/>
          <w:sz w:val="28"/>
          <w:szCs w:val="28"/>
        </w:rPr>
        <w:t xml:space="preserve">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A7393B">
        <w:rPr>
          <w:rFonts w:ascii="Times New Roman" w:hAnsi="Times New Roman" w:cs="Times New Roman"/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proofErr w:type="gramStart"/>
      <w:r w:rsidRPr="00A7393B">
        <w:rPr>
          <w:rFonts w:ascii="Times New Roman" w:hAnsi="Times New Roman" w:cs="Times New Roman"/>
          <w:sz w:val="28"/>
          <w:szCs w:val="28"/>
        </w:rPr>
        <w:t>.</w:t>
      </w:r>
      <w:r w:rsidR="00C06C76">
        <w:rPr>
          <w:rFonts w:ascii="Times New Roman" w:hAnsi="Times New Roman" w:cs="Times New Roman"/>
          <w:sz w:val="28"/>
          <w:szCs w:val="28"/>
        </w:rPr>
        <w:t>»</w:t>
      </w:r>
      <w:r w:rsidR="006C72E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B6A31" w:rsidRDefault="00AB6A31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пункте 1 статьи 6:</w:t>
      </w:r>
    </w:p>
    <w:p w:rsidR="00AB6A31" w:rsidRDefault="00AB6A31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«на 2022 год 15 286,6 тыс. рублей» заменить словами «на 2022 год 12 786,6 тыс. рублей»;</w:t>
      </w:r>
    </w:p>
    <w:p w:rsidR="00AB6A31" w:rsidRDefault="00AB6A31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«на 2023 год 15 286,6 тыс. рублей» заменить словами «на 2023 год 13 286,6 тыс. рублей»;</w:t>
      </w:r>
    </w:p>
    <w:p w:rsidR="00AB6A31" w:rsidRDefault="00935B0E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 1 статьи 7 цифры «34 107,8» заменить цифрами «34 107,7»;</w:t>
      </w:r>
    </w:p>
    <w:p w:rsidR="00935B0E" w:rsidRDefault="00935B0E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пункте 1 статьи 8 цифры «41 609,0» заменить цифрами «42 713,0»;</w:t>
      </w:r>
    </w:p>
    <w:p w:rsidR="00935B0E" w:rsidRDefault="00935B0E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пункте 1 статьи 12 цифры «4 028,0» заменить цифрами «802,0»;</w:t>
      </w:r>
    </w:p>
    <w:p w:rsidR="00935B0E" w:rsidRDefault="00935B0E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пункте 1 статьи 13 слова «на 2022 год – 300,0 тыс. рублей» заменить словами «на 2022 год – 0 тыс. рублей»</w:t>
      </w:r>
      <w:r w:rsidR="006C72EE">
        <w:rPr>
          <w:rFonts w:ascii="Times New Roman" w:hAnsi="Times New Roman" w:cs="Times New Roman"/>
          <w:sz w:val="28"/>
          <w:szCs w:val="28"/>
        </w:rPr>
        <w:t>;</w:t>
      </w:r>
    </w:p>
    <w:p w:rsidR="006C72EE" w:rsidRPr="00A7393B" w:rsidRDefault="006C72EE" w:rsidP="00AB6A31">
      <w:pPr>
        <w:tabs>
          <w:tab w:val="left" w:pos="5362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В статье 16 цифры «22 361,1» заменить цифрами «94 778,8»;</w:t>
      </w:r>
    </w:p>
    <w:p w:rsidR="004D0C96" w:rsidRDefault="006B282C">
      <w:pPr>
        <w:pStyle w:val="10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</w:t>
      </w:r>
      <w:r w:rsidR="006C72EE">
        <w:rPr>
          <w:rFonts w:cs="Arial"/>
          <w:sz w:val="27"/>
          <w:szCs w:val="27"/>
        </w:rPr>
        <w:t>9</w:t>
      </w:r>
      <w:r>
        <w:rPr>
          <w:rFonts w:cs="Arial"/>
          <w:sz w:val="27"/>
          <w:szCs w:val="27"/>
        </w:rPr>
        <w:t>. В пункте 6 статьи 17</w:t>
      </w:r>
      <w:r w:rsidR="004D0C96">
        <w:rPr>
          <w:rFonts w:cs="Arial"/>
          <w:sz w:val="27"/>
          <w:szCs w:val="27"/>
        </w:rPr>
        <w:t>:</w:t>
      </w:r>
    </w:p>
    <w:p w:rsidR="005A23C4" w:rsidRDefault="006B282C">
      <w:pPr>
        <w:pStyle w:val="10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цифры «2</w:t>
      </w:r>
      <w:r w:rsidR="004D0C96">
        <w:rPr>
          <w:rFonts w:cs="Arial"/>
          <w:sz w:val="27"/>
          <w:szCs w:val="27"/>
        </w:rPr>
        <w:t>8</w:t>
      </w:r>
      <w:r>
        <w:rPr>
          <w:rFonts w:cs="Arial"/>
          <w:sz w:val="27"/>
          <w:szCs w:val="27"/>
        </w:rPr>
        <w:t>0 000,0» заменить цифрами «</w:t>
      </w:r>
      <w:r w:rsidR="004D0C96">
        <w:rPr>
          <w:rFonts w:cs="Arial"/>
          <w:sz w:val="27"/>
          <w:szCs w:val="27"/>
        </w:rPr>
        <w:t>25</w:t>
      </w:r>
      <w:r>
        <w:rPr>
          <w:rFonts w:cs="Arial"/>
          <w:sz w:val="27"/>
          <w:szCs w:val="27"/>
        </w:rPr>
        <w:t>0 000,0»;</w:t>
      </w:r>
    </w:p>
    <w:p w:rsidR="004D0C96" w:rsidRDefault="004D0C96" w:rsidP="004D0C96">
      <w:pPr>
        <w:pStyle w:val="10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цифры «180 000,0» заменить цифрами «199 500,0»;</w:t>
      </w:r>
    </w:p>
    <w:p w:rsidR="004D0C96" w:rsidRDefault="004D0C96" w:rsidP="004D0C96">
      <w:pPr>
        <w:pStyle w:val="10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цифры «195 000,0» заменить цифрами «199 500,0»;</w:t>
      </w:r>
    </w:p>
    <w:p w:rsidR="00D4672D" w:rsidRDefault="00D4672D" w:rsidP="004D0C96">
      <w:pPr>
        <w:pStyle w:val="10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</w:t>
      </w:r>
      <w:r w:rsidR="006C72EE">
        <w:rPr>
          <w:rFonts w:cs="Arial"/>
          <w:sz w:val="27"/>
          <w:szCs w:val="27"/>
        </w:rPr>
        <w:t>10</w:t>
      </w:r>
      <w:r>
        <w:rPr>
          <w:rFonts w:cs="Arial"/>
          <w:sz w:val="27"/>
          <w:szCs w:val="27"/>
        </w:rPr>
        <w:t xml:space="preserve">. В статье 18 слова «на 2022 год в размере 1 133,5 тыс. рублей» заменить словами «на 2022 </w:t>
      </w:r>
      <w:r w:rsidR="006C6697">
        <w:rPr>
          <w:rFonts w:cs="Arial"/>
          <w:sz w:val="27"/>
          <w:szCs w:val="27"/>
        </w:rPr>
        <w:t>год в размере 233,5 тыс. рублей»</w:t>
      </w:r>
      <w:r>
        <w:rPr>
          <w:rFonts w:cs="Arial"/>
          <w:sz w:val="27"/>
          <w:szCs w:val="27"/>
        </w:rPr>
        <w:t>;</w:t>
      </w:r>
    </w:p>
    <w:p w:rsidR="004D0C96" w:rsidRDefault="006B282C">
      <w:pPr>
        <w:pStyle w:val="10"/>
        <w:ind w:left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lastRenderedPageBreak/>
        <w:t>1.</w:t>
      </w:r>
      <w:r w:rsidR="006C6697">
        <w:rPr>
          <w:rFonts w:cs="Arial"/>
          <w:sz w:val="27"/>
          <w:szCs w:val="27"/>
        </w:rPr>
        <w:t>1</w:t>
      </w:r>
      <w:r w:rsidR="006C72EE">
        <w:rPr>
          <w:rFonts w:cs="Arial"/>
          <w:sz w:val="27"/>
          <w:szCs w:val="27"/>
        </w:rPr>
        <w:t>1</w:t>
      </w:r>
      <w:r>
        <w:rPr>
          <w:rFonts w:cs="Arial"/>
          <w:sz w:val="27"/>
          <w:szCs w:val="27"/>
        </w:rPr>
        <w:t>. В пункте 1 статьи 19</w:t>
      </w:r>
      <w:r w:rsidR="004D0C96">
        <w:rPr>
          <w:rFonts w:cs="Arial"/>
          <w:sz w:val="27"/>
          <w:szCs w:val="27"/>
        </w:rPr>
        <w:t>:</w:t>
      </w:r>
    </w:p>
    <w:p w:rsidR="005A23C4" w:rsidRDefault="006B282C">
      <w:pPr>
        <w:pStyle w:val="10"/>
        <w:ind w:left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цифры «</w:t>
      </w:r>
      <w:r w:rsidR="00A86515">
        <w:rPr>
          <w:rFonts w:cs="Arial"/>
          <w:sz w:val="27"/>
          <w:szCs w:val="27"/>
        </w:rPr>
        <w:t>130 000,0</w:t>
      </w:r>
      <w:r>
        <w:rPr>
          <w:rFonts w:cs="Arial"/>
          <w:sz w:val="27"/>
          <w:szCs w:val="27"/>
        </w:rPr>
        <w:t>» заменить цифрами «1</w:t>
      </w:r>
      <w:r w:rsidR="00A86515">
        <w:rPr>
          <w:rFonts w:cs="Arial"/>
          <w:sz w:val="27"/>
          <w:szCs w:val="27"/>
        </w:rPr>
        <w:t>0</w:t>
      </w:r>
      <w:r>
        <w:rPr>
          <w:rFonts w:cs="Arial"/>
          <w:sz w:val="27"/>
          <w:szCs w:val="27"/>
        </w:rPr>
        <w:t>0 000,0»;</w:t>
      </w:r>
    </w:p>
    <w:p w:rsidR="00A86515" w:rsidRDefault="00A86515">
      <w:pPr>
        <w:pStyle w:val="10"/>
        <w:ind w:left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цифры «30 000,0» заменить цифрами «49 500,0»; </w:t>
      </w:r>
    </w:p>
    <w:p w:rsidR="00A86515" w:rsidRDefault="00A86515">
      <w:pPr>
        <w:pStyle w:val="10"/>
        <w:ind w:left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цифры «45 000,0» заменить цифрами «49 500,0»;</w:t>
      </w:r>
    </w:p>
    <w:p w:rsidR="005A23C4" w:rsidRDefault="006B282C">
      <w:pPr>
        <w:pStyle w:val="10"/>
        <w:ind w:left="567"/>
        <w:jc w:val="both"/>
      </w:pPr>
      <w:r>
        <w:rPr>
          <w:rFonts w:cs="Arial"/>
          <w:sz w:val="27"/>
          <w:szCs w:val="27"/>
        </w:rPr>
        <w:t>1.</w:t>
      </w:r>
      <w:r w:rsidR="006C6697">
        <w:rPr>
          <w:rFonts w:cs="Arial"/>
          <w:sz w:val="27"/>
          <w:szCs w:val="27"/>
        </w:rPr>
        <w:t>1</w:t>
      </w:r>
      <w:r w:rsidR="006C72EE">
        <w:rPr>
          <w:rFonts w:cs="Arial"/>
          <w:sz w:val="27"/>
          <w:szCs w:val="27"/>
        </w:rPr>
        <w:t>2</w:t>
      </w:r>
      <w:r w:rsidR="006C6697">
        <w:rPr>
          <w:rFonts w:cs="Arial"/>
          <w:sz w:val="27"/>
          <w:szCs w:val="27"/>
        </w:rPr>
        <w:t>.</w:t>
      </w:r>
      <w:r w:rsidR="00A86515">
        <w:rPr>
          <w:rFonts w:cs="Arial"/>
          <w:sz w:val="27"/>
          <w:szCs w:val="27"/>
        </w:rPr>
        <w:t xml:space="preserve"> Статью 21 исключить;</w:t>
      </w:r>
    </w:p>
    <w:p w:rsidR="00A86515" w:rsidRDefault="006B282C">
      <w:pPr>
        <w:pStyle w:val="10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6C6697">
        <w:rPr>
          <w:sz w:val="27"/>
          <w:szCs w:val="27"/>
        </w:rPr>
        <w:t>1</w:t>
      </w:r>
      <w:r w:rsidR="006C72EE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="00A86515">
        <w:rPr>
          <w:sz w:val="27"/>
          <w:szCs w:val="27"/>
        </w:rPr>
        <w:t>Статью 22 исключить;</w:t>
      </w:r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6C6697">
        <w:rPr>
          <w:rFonts w:ascii="Times New Roman" w:hAnsi="Times New Roman" w:cs="Times New Roman"/>
          <w:sz w:val="27"/>
          <w:szCs w:val="27"/>
        </w:rPr>
        <w:t>1</w:t>
      </w:r>
      <w:r w:rsidR="006C72EE">
        <w:rPr>
          <w:rFonts w:ascii="Times New Roman" w:hAnsi="Times New Roman" w:cs="Times New Roman"/>
          <w:sz w:val="27"/>
          <w:szCs w:val="27"/>
        </w:rPr>
        <w:t>4</w:t>
      </w:r>
      <w:r w:rsidR="006C669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Приложение 1 «Поступление доходов в бюджет городского округа Фрязино на 2022 год и на плановый период 2023 и 2024 годов» изложить в редакции согласно приложению 1 к настоящему решению;</w:t>
      </w:r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6C6697">
        <w:rPr>
          <w:rFonts w:ascii="Times New Roman" w:hAnsi="Times New Roman" w:cs="Times New Roman"/>
          <w:sz w:val="27"/>
          <w:szCs w:val="27"/>
        </w:rPr>
        <w:t>1</w:t>
      </w:r>
      <w:r w:rsidR="006C72EE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>
        <w:rPr>
          <w:rFonts w:ascii="Times New Roman" w:hAnsi="Times New Roman" w:cs="Times New Roman"/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2 к настоящему решению;</w:t>
      </w:r>
      <w:proofErr w:type="gramEnd"/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6C6697">
        <w:rPr>
          <w:rFonts w:ascii="Times New Roman" w:hAnsi="Times New Roman" w:cs="Times New Roman"/>
          <w:sz w:val="27"/>
          <w:szCs w:val="27"/>
        </w:rPr>
        <w:t>1</w:t>
      </w:r>
      <w:r w:rsidR="006C72EE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 Приложение 3 «Ведомственная структура расходов бюджета городского округа Фрязино на 2022 год и на плановый период 2023 и 2024 годов» изложить в редакции согласно приложению 3 к настоящему решению;</w:t>
      </w:r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1.1</w:t>
      </w:r>
      <w:r w:rsidR="006C72EE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 2022 год и на плановый период 2023 и 2024 годов» изложить в редакции согласно приложению 4 к настоящему решению;</w:t>
      </w:r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A86515">
        <w:rPr>
          <w:rFonts w:ascii="Times New Roman" w:hAnsi="Times New Roman" w:cs="Times New Roman"/>
          <w:sz w:val="27"/>
          <w:szCs w:val="27"/>
        </w:rPr>
        <w:t>1</w:t>
      </w:r>
      <w:r w:rsidR="006C72EE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Приложение 5 «Источники внутреннего финансирования дефицита бюджета городского округа Фрязино на 2022 год и на плановый период 2023 и 2024 годов» изложить в редакции согласно приложению 5 к настоящему решению;</w:t>
      </w:r>
    </w:p>
    <w:p w:rsidR="005A23C4" w:rsidRDefault="006B282C">
      <w:pPr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>1.1</w:t>
      </w:r>
      <w:r w:rsidR="006C72EE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Приложение 7 «Программа муниципальных внутренних заимствований городского округа Фрязино на 2022 год и на плановый период 2023 и 2024 годов» изложить в редакции согласно приложению 6 к настоящему решению;</w:t>
      </w:r>
    </w:p>
    <w:p w:rsidR="005A23C4" w:rsidRDefault="006B282C">
      <w:pPr>
        <w:pStyle w:val="ab"/>
        <w:ind w:firstLine="567"/>
        <w:jc w:val="both"/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5A23C4" w:rsidRDefault="006B282C">
      <w:pPr>
        <w:ind w:firstLine="540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выполнением настоящего решения возложить  на депутата  Совета депутатов городского округа Фрязино Коновалову И. Н.</w:t>
      </w:r>
    </w:p>
    <w:p w:rsidR="005A23C4" w:rsidRDefault="005A23C4">
      <w:pPr>
        <w:pStyle w:val="10"/>
        <w:ind w:firstLine="720"/>
        <w:jc w:val="both"/>
      </w:pPr>
    </w:p>
    <w:p w:rsidR="002A497E" w:rsidRDefault="002A497E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  <w:t>Глава городского округа Фрязино</w:t>
      </w:r>
    </w:p>
    <w:p w:rsidR="005A23C4" w:rsidRDefault="006B282C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5A23C4" w:rsidRDefault="006B282C">
      <w:pPr>
        <w:pStyle w:val="ac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5A23C4" w:rsidRPr="00C04B47" w:rsidRDefault="006B282C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______________Е.В. Романова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_________________Д.Р. Воробьев</w:t>
      </w:r>
    </w:p>
    <w:p w:rsidR="00DC2D21" w:rsidRPr="00C04B47" w:rsidRDefault="00DC2D21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35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0"/>
        <w:gridCol w:w="2038"/>
        <w:gridCol w:w="2217"/>
      </w:tblGrid>
      <w:tr w:rsidR="005A23C4">
        <w:tc>
          <w:tcPr>
            <w:tcW w:w="5100" w:type="dxa"/>
            <w:shd w:val="clear" w:color="auto" w:fill="auto"/>
          </w:tcPr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2038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7" w:type="dxa"/>
            <w:shd w:val="clear" w:color="auto" w:fill="auto"/>
          </w:tcPr>
          <w:p w:rsidR="005A23C4" w:rsidRDefault="006B282C" w:rsidP="00FA4E7E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Подпись, дата</w:t>
            </w:r>
          </w:p>
        </w:tc>
      </w:tr>
      <w:tr w:rsidR="00FA4E7E">
        <w:tc>
          <w:tcPr>
            <w:tcW w:w="5100" w:type="dxa"/>
            <w:shd w:val="clear" w:color="auto" w:fill="auto"/>
          </w:tcPr>
          <w:p w:rsidR="00FA4E7E" w:rsidRDefault="00FA4E7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E7E" w:rsidRDefault="00FA4E7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038" w:type="dxa"/>
            <w:shd w:val="clear" w:color="auto" w:fill="auto"/>
          </w:tcPr>
          <w:p w:rsidR="00FA4E7E" w:rsidRDefault="00FA4E7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E7E" w:rsidRDefault="00FA4E7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Бощеван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FA4E7E" w:rsidRDefault="00FA4E7E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3C4">
        <w:tc>
          <w:tcPr>
            <w:tcW w:w="5100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038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А.М. Тропин</w:t>
            </w:r>
          </w:p>
        </w:tc>
        <w:tc>
          <w:tcPr>
            <w:tcW w:w="2217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3C4">
        <w:tc>
          <w:tcPr>
            <w:tcW w:w="5100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Финансового управления</w:t>
            </w:r>
          </w:p>
        </w:tc>
        <w:tc>
          <w:tcPr>
            <w:tcW w:w="2038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О.В. Рева</w:t>
            </w:r>
          </w:p>
        </w:tc>
        <w:tc>
          <w:tcPr>
            <w:tcW w:w="2217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3C4">
        <w:tc>
          <w:tcPr>
            <w:tcW w:w="5100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5A0374" w:rsidP="005A037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B282C">
              <w:rPr>
                <w:rFonts w:ascii="Times New Roman" w:hAnsi="Times New Roman" w:cs="Times New Roman"/>
                <w:sz w:val="26"/>
                <w:szCs w:val="26"/>
              </w:rPr>
              <w:t>ачальник юридического отдела</w:t>
            </w:r>
          </w:p>
        </w:tc>
        <w:tc>
          <w:tcPr>
            <w:tcW w:w="2038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23C4" w:rsidRDefault="006B282C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И.Р. Борисова</w:t>
            </w:r>
          </w:p>
        </w:tc>
        <w:tc>
          <w:tcPr>
            <w:tcW w:w="2217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A23C4" w:rsidRDefault="005A23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3C4" w:rsidRDefault="005A23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3C4" w:rsidRDefault="005A23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97E" w:rsidRPr="00C04B47" w:rsidRDefault="002A497E" w:rsidP="002A497E">
      <w:pPr>
        <w:jc w:val="both"/>
        <w:rPr>
          <w:rFonts w:ascii="Times New Roman" w:hAnsi="Times New Roman"/>
        </w:rPr>
      </w:pPr>
      <w:r w:rsidRPr="00C04B47">
        <w:rPr>
          <w:rFonts w:ascii="Times New Roman" w:hAnsi="Times New Roman"/>
        </w:rPr>
        <w:t>Разослано: Совет, КСП, Тропину, Фин. упр.</w:t>
      </w:r>
    </w:p>
    <w:p w:rsidR="005A23C4" w:rsidRDefault="005A23C4">
      <w:pPr>
        <w:jc w:val="both"/>
        <w:rPr>
          <w:rFonts w:hint="eastAsia"/>
        </w:rPr>
      </w:pPr>
    </w:p>
    <w:sectPr w:rsidR="005A23C4" w:rsidSect="002673DC">
      <w:pgSz w:w="11906" w:h="16838"/>
      <w:pgMar w:top="1134" w:right="851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02A6D"/>
    <w:multiLevelType w:val="multilevel"/>
    <w:tmpl w:val="88A6E2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F1E5E33"/>
    <w:multiLevelType w:val="multilevel"/>
    <w:tmpl w:val="346097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4"/>
    <w:rsid w:val="002673DC"/>
    <w:rsid w:val="002A497E"/>
    <w:rsid w:val="002C25D1"/>
    <w:rsid w:val="00335FE1"/>
    <w:rsid w:val="004D0C96"/>
    <w:rsid w:val="00523D9D"/>
    <w:rsid w:val="00534AB3"/>
    <w:rsid w:val="005A0374"/>
    <w:rsid w:val="005A23C4"/>
    <w:rsid w:val="006B282C"/>
    <w:rsid w:val="006C6697"/>
    <w:rsid w:val="006C72EE"/>
    <w:rsid w:val="007327EF"/>
    <w:rsid w:val="0081094F"/>
    <w:rsid w:val="00935B0E"/>
    <w:rsid w:val="00945D46"/>
    <w:rsid w:val="00A7393B"/>
    <w:rsid w:val="00A86515"/>
    <w:rsid w:val="00AB6A31"/>
    <w:rsid w:val="00B26196"/>
    <w:rsid w:val="00C04B47"/>
    <w:rsid w:val="00C06C76"/>
    <w:rsid w:val="00D4672D"/>
    <w:rsid w:val="00DC2D21"/>
    <w:rsid w:val="00DC5DC5"/>
    <w:rsid w:val="00EB4202"/>
    <w:rsid w:val="00FA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qFormat/>
    <w:pPr>
      <w:keepNext/>
      <w:jc w:val="center"/>
      <w:outlineLvl w:val="3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"/>
    <w:qFormat/>
  </w:style>
  <w:style w:type="paragraph" w:customStyle="1" w:styleId="af">
    <w:name w:val="Заглавие"/>
    <w:basedOn w:val="a4"/>
  </w:style>
  <w:style w:type="paragraph" w:styleId="af0">
    <w:name w:val="Subtitle"/>
    <w:basedOn w:val="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qFormat/>
    <w:pPr>
      <w:keepNext/>
      <w:jc w:val="center"/>
      <w:outlineLvl w:val="3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"/>
    <w:qFormat/>
  </w:style>
  <w:style w:type="paragraph" w:customStyle="1" w:styleId="af">
    <w:name w:val="Заглавие"/>
    <w:basedOn w:val="a4"/>
  </w:style>
  <w:style w:type="paragraph" w:styleId="af0">
    <w:name w:val="Subtitle"/>
    <w:basedOn w:val="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Olga</cp:lastModifiedBy>
  <cp:revision>17</cp:revision>
  <cp:lastPrinted>2022-10-31T13:49:00Z</cp:lastPrinted>
  <dcterms:created xsi:type="dcterms:W3CDTF">2022-10-07T07:16:00Z</dcterms:created>
  <dcterms:modified xsi:type="dcterms:W3CDTF">2022-10-31T13:59:00Z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